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国际商务硕士</w:t>
      </w:r>
      <w:r>
        <w:rPr>
          <w:rFonts w:hint="eastAsia" w:ascii="方正小标宋简体" w:hAnsi="方正小标宋简体" w:eastAsia="方正小标宋简体" w:cs="方正小标宋简体"/>
          <w:sz w:val="36"/>
          <w:szCs w:val="36"/>
          <w:lang w:val="en-US" w:eastAsia="zh-CN"/>
        </w:rPr>
        <w:t>专业</w:t>
      </w:r>
      <w:r>
        <w:rPr>
          <w:rFonts w:hint="eastAsia" w:ascii="方正小标宋简体" w:hAnsi="方正小标宋简体" w:eastAsia="方正小标宋简体" w:cs="方正小标宋简体"/>
          <w:sz w:val="36"/>
          <w:szCs w:val="36"/>
        </w:rPr>
        <w:t>学位</w:t>
      </w:r>
      <w:r>
        <w:rPr>
          <w:rFonts w:hint="eastAsia" w:ascii="方正小标宋简体" w:hAnsi="方正小标宋简体" w:eastAsia="方正小标宋简体" w:cs="方正小标宋简体"/>
          <w:sz w:val="36"/>
          <w:szCs w:val="36"/>
          <w:lang w:val="en-US" w:eastAsia="zh-CN"/>
        </w:rPr>
        <w:t>授权</w:t>
      </w:r>
      <w:r>
        <w:rPr>
          <w:rFonts w:hint="eastAsia" w:ascii="方正小标宋简体" w:hAnsi="方正小标宋简体" w:eastAsia="方正小标宋简体" w:cs="方正小标宋简体"/>
          <w:sz w:val="36"/>
          <w:szCs w:val="36"/>
        </w:rPr>
        <w:t>点简介</w:t>
      </w:r>
    </w:p>
    <w:p>
      <w:pPr>
        <w:spacing w:line="440" w:lineRule="exact"/>
        <w:ind w:firstLine="602" w:firstLineChars="200"/>
        <w:rPr>
          <w:rFonts w:ascii="楷体" w:hAnsi="楷体" w:eastAsia="楷体" w:cs="楷体"/>
          <w:b/>
          <w:bCs w:val="0"/>
          <w:sz w:val="30"/>
          <w:szCs w:val="30"/>
        </w:rPr>
      </w:pPr>
      <w:bookmarkStart w:id="0" w:name="_GoBack"/>
      <w:r>
        <w:rPr>
          <w:rFonts w:hint="eastAsia" w:ascii="楷体" w:hAnsi="楷体" w:eastAsia="楷体" w:cs="楷体"/>
          <w:b/>
          <w:bCs w:val="0"/>
          <w:sz w:val="30"/>
          <w:szCs w:val="30"/>
          <w:lang w:val="en-US" w:eastAsia="zh-CN"/>
        </w:rPr>
        <w:t>一、</w:t>
      </w:r>
      <w:r>
        <w:rPr>
          <w:rFonts w:hint="eastAsia" w:ascii="楷体" w:hAnsi="楷体" w:eastAsia="楷体" w:cs="楷体"/>
          <w:b/>
          <w:bCs w:val="0"/>
          <w:sz w:val="30"/>
          <w:szCs w:val="30"/>
        </w:rPr>
        <w:t>专业特色</w:t>
      </w:r>
    </w:p>
    <w:bookmarkEnd w:id="0"/>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北部湾大学国际商务硕士专业学位点处于“海上丝绸之路”、北部湾城市群、中国东盟自由贸易区等国家战略前沿位置，国际商务硕士专业学位在该区域布点较少，人才需求量大，国际商务硕士专业学位的增设是国家战略实施的人才保障。</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北部湾大学国际商务硕士专业学位点针对区域发展培养实用性人才，设置有港口物流与东盟港口城市合作、国际贸易与湾区经济发展以及文化沟通与经营管理三个方向。借助优越的区位环境和多项国家开放政策优势，有更多机会接触跨国跨境商务管理与运营，提升个人职业生涯质量，可为学生提供广阔的就业前景和多样化的就业机会。</w:t>
      </w:r>
    </w:p>
    <w:p>
      <w:pPr>
        <w:spacing w:line="440" w:lineRule="exact"/>
        <w:ind w:firstLine="602" w:firstLineChars="200"/>
        <w:rPr>
          <w:rFonts w:ascii="楷体" w:hAnsi="楷体" w:eastAsia="楷体" w:cs="楷体"/>
          <w:b/>
          <w:bCs w:val="0"/>
          <w:sz w:val="30"/>
          <w:szCs w:val="30"/>
        </w:rPr>
      </w:pPr>
      <w:r>
        <w:rPr>
          <w:rFonts w:hint="eastAsia" w:ascii="楷体" w:hAnsi="楷体" w:eastAsia="楷体" w:cs="楷体"/>
          <w:b/>
          <w:bCs w:val="0"/>
          <w:sz w:val="30"/>
          <w:szCs w:val="30"/>
          <w:lang w:val="en-US" w:eastAsia="zh-CN"/>
        </w:rPr>
        <w:t>二、</w:t>
      </w:r>
      <w:r>
        <w:rPr>
          <w:rFonts w:hint="eastAsia" w:ascii="楷体" w:hAnsi="楷体" w:eastAsia="楷体" w:cs="楷体"/>
          <w:b/>
          <w:bCs w:val="0"/>
          <w:sz w:val="30"/>
          <w:szCs w:val="30"/>
        </w:rPr>
        <w:t>师资队伍</w:t>
      </w:r>
    </w:p>
    <w:p>
      <w:pPr>
        <w:adjustRightInd w:val="0"/>
        <w:snapToGrid w:val="0"/>
        <w:spacing w:line="440" w:lineRule="exact"/>
        <w:rPr>
          <w:rFonts w:ascii="仿宋_GB2312" w:hAnsi="仿宋_GB2312" w:eastAsia="仿宋_GB2312" w:cs="仿宋_GB2312"/>
          <w:sz w:val="28"/>
          <w:szCs w:val="28"/>
        </w:rPr>
      </w:pPr>
      <w:r>
        <w:rPr>
          <w:rFonts w:hint="eastAsia" w:ascii="宋体" w:hAnsi="宋体"/>
          <w:sz w:val="28"/>
          <w:szCs w:val="28"/>
        </w:rPr>
        <w:t xml:space="preserve">    </w:t>
      </w:r>
      <w:r>
        <w:rPr>
          <w:rFonts w:hint="eastAsia" w:ascii="仿宋_GB2312" w:hAnsi="仿宋_GB2312" w:eastAsia="仿宋_GB2312" w:cs="仿宋_GB2312"/>
          <w:sz w:val="28"/>
          <w:szCs w:val="28"/>
        </w:rPr>
        <w:t xml:space="preserve"> 师资团队现有30人，其中教授8人，副教授12人，高级经济师2人，占专职教师76.67%；博士17人，占56.67%；经济师、物流师、创业咨询师、工程师、信息系统项目管理师等“双师型”教师19人，占63.33%；师资团队在广西大学、大连海事大学等10所高校指导经济管理类硕士研究生64名，其中第一导师或独立指导研究生44名，国际商务硕士23名。此外，兼职教师10人，其中高级职称5人。硕士点负责人获得广西高校卓越学者称号，获广西高校高水平创新团队称号。能够为学生的成长成才提供师资保障。</w:t>
      </w:r>
    </w:p>
    <w:p>
      <w:pPr>
        <w:spacing w:line="440" w:lineRule="exact"/>
        <w:ind w:firstLine="602" w:firstLineChars="200"/>
        <w:rPr>
          <w:rFonts w:ascii="楷体" w:hAnsi="楷体" w:eastAsia="楷体" w:cs="楷体"/>
          <w:b/>
          <w:bCs w:val="0"/>
          <w:sz w:val="30"/>
          <w:szCs w:val="30"/>
        </w:rPr>
      </w:pPr>
      <w:r>
        <w:rPr>
          <w:rFonts w:hint="eastAsia" w:ascii="楷体" w:hAnsi="楷体" w:eastAsia="楷体" w:cs="楷体"/>
          <w:b/>
          <w:bCs w:val="0"/>
          <w:sz w:val="30"/>
          <w:szCs w:val="30"/>
          <w:lang w:val="en-US" w:eastAsia="zh-CN"/>
        </w:rPr>
        <w:t>三、</w:t>
      </w:r>
      <w:r>
        <w:rPr>
          <w:rFonts w:hint="eastAsia" w:ascii="楷体" w:hAnsi="楷体" w:eastAsia="楷体" w:cs="楷体"/>
          <w:b/>
          <w:bCs w:val="0"/>
          <w:sz w:val="30"/>
          <w:szCs w:val="30"/>
        </w:rPr>
        <w:t>培养平台与国际合作</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该学位点建有“北部湾港人才培训基地”、“北部湾创新创业人才培训认证中心”、“ 北部湾海洋资源产业化开发与利用创新人才培养示范基地建设”、“ 中国-马来西亚物流科技人才交流创新平台建设”、“北部湾海洋经济协同育人平台”、“面向东盟国际型物流人才培养创新实验区”等平台。经济管理实验中心设备总值约2000万，国际商务专业科研教学软件11套，有北部湾国际港务集团、广西钦州保税港区、交通银行钦州分行、中国外运广西公司等企业校外实践基地14家，能够满足国际商务专业人才培养的要求。</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在国际合作方面，加入亚洲-德国运输物流知识网络联盟，与泰国那黎宣大学物流与供应链学院合作共建“国际物流研究中心”。与马来西亚相关高校合作开展中国-马来西亚物流科技人才交流创新平台建设项目。</w:t>
      </w:r>
    </w:p>
    <w:p>
      <w:pPr>
        <w:spacing w:line="440" w:lineRule="exact"/>
        <w:ind w:firstLine="560" w:firstLineChars="200"/>
        <w:rPr>
          <w:rFonts w:ascii="宋体" w:hAnsi="宋体"/>
          <w:sz w:val="28"/>
          <w:szCs w:val="28"/>
        </w:rPr>
      </w:pPr>
      <w:r>
        <w:rPr>
          <w:rFonts w:hint="eastAsia" w:ascii="仿宋_GB2312" w:hAnsi="仿宋_GB2312" w:eastAsia="仿宋_GB2312" w:cs="仿宋_GB2312"/>
          <w:sz w:val="28"/>
          <w:szCs w:val="28"/>
        </w:rPr>
        <w:t>该学位点主办和承办有学生参与的多项国际会议，主要有：管理科学与工程学会2017年年会暨第十五届中国管理科学与工程论坛、第八届中国能源经济与管理学术年会暨第十一届中国能源资源开发利用战略学术研讨会、全国沿海高校服务经济发展联盟第七届学术研讨会等。在学术交流上，可采用多种形式为学生提供多样化的成果展示机会。</w:t>
      </w:r>
    </w:p>
    <w:p>
      <w:pPr>
        <w:spacing w:line="440" w:lineRule="exact"/>
        <w:ind w:firstLine="602" w:firstLineChars="200"/>
        <w:rPr>
          <w:rFonts w:ascii="楷体" w:hAnsi="楷体" w:eastAsia="楷体" w:cs="楷体"/>
          <w:b/>
          <w:bCs w:val="0"/>
          <w:sz w:val="30"/>
          <w:szCs w:val="30"/>
        </w:rPr>
      </w:pPr>
      <w:r>
        <w:rPr>
          <w:rFonts w:hint="eastAsia" w:ascii="楷体" w:hAnsi="楷体" w:eastAsia="楷体" w:cs="楷体"/>
          <w:b/>
          <w:bCs w:val="0"/>
          <w:sz w:val="30"/>
          <w:szCs w:val="30"/>
          <w:lang w:val="en-US" w:eastAsia="zh-CN"/>
        </w:rPr>
        <w:t>四、</w:t>
      </w:r>
      <w:r>
        <w:rPr>
          <w:rFonts w:hint="eastAsia" w:ascii="楷体" w:hAnsi="楷体" w:eastAsia="楷体" w:cs="楷体"/>
          <w:b/>
          <w:bCs w:val="0"/>
          <w:sz w:val="30"/>
          <w:szCs w:val="30"/>
        </w:rPr>
        <w:t>研究能力</w:t>
      </w:r>
    </w:p>
    <w:p>
      <w:pPr>
        <w:spacing w:line="440" w:lineRule="exact"/>
        <w:ind w:firstLine="560" w:firstLineChars="200"/>
        <w:rPr>
          <w:rFonts w:hint="eastAsia" w:ascii="仿宋_GB2312" w:hAnsi="仿宋_GB2312" w:cs="仿宋_GB2312" w:eastAsiaTheme="minorEastAsia"/>
          <w:sz w:val="28"/>
          <w:szCs w:val="28"/>
        </w:rPr>
        <w:sectPr>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sz w:val="28"/>
          <w:szCs w:val="28"/>
        </w:rPr>
        <w:t>获国家自然科学基金项目1项，国家社科基金项目5项，教育部人文规划研究课题6项，广西科技计划项目2项，广西哲学社会科学研究课题20项，各级各类横向课题900多万；出版专著和教材增加10余部，获广西教学成果奖3项，广西社科论文成果奖4项，钦州市社科论文一等奖8项，二等奖13项，三等奖16项；在成果转化方面，分别有26份咨询报告被钦州市政策研究室、贵州省六盘水市工业与信息化委员会等部门采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87864EA"/>
    <w:rsid w:val="007D2DAD"/>
    <w:rsid w:val="00CA6E1F"/>
    <w:rsid w:val="094E70C7"/>
    <w:rsid w:val="163C1D02"/>
    <w:rsid w:val="487864EA"/>
    <w:rsid w:val="5C230E5C"/>
    <w:rsid w:val="6DB85E4D"/>
    <w:rsid w:val="7BD47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60" w:lineRule="exact"/>
      <w:jc w:val="left"/>
      <w:outlineLvl w:val="0"/>
    </w:pPr>
    <w:rPr>
      <w:rFonts w:eastAsia="黑体" w:asciiTheme="minorHAnsi" w:hAnsiTheme="minorHAnsi"/>
      <w:b/>
      <w:kern w:val="44"/>
      <w:sz w:val="32"/>
      <w:szCs w:val="22"/>
    </w:rPr>
  </w:style>
  <w:style w:type="paragraph" w:styleId="3">
    <w:name w:val="heading 2"/>
    <w:basedOn w:val="1"/>
    <w:next w:val="1"/>
    <w:semiHidden/>
    <w:unhideWhenUsed/>
    <w:qFormat/>
    <w:uiPriority w:val="0"/>
    <w:pPr>
      <w:keepNext/>
      <w:keepLines/>
      <w:spacing w:line="560" w:lineRule="exact"/>
      <w:jc w:val="left"/>
      <w:outlineLvl w:val="1"/>
    </w:pPr>
    <w:rPr>
      <w:rFonts w:ascii="Arial" w:hAnsi="Arial" w:eastAsia="楷体"/>
      <w:b/>
      <w:sz w:val="32"/>
      <w:szCs w:val="22"/>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183</Words>
  <Characters>1046</Characters>
  <Lines>8</Lines>
  <Paragraphs>2</Paragraphs>
  <TotalTime>19</TotalTime>
  <ScaleCrop>false</ScaleCrop>
  <LinksUpToDate>false</LinksUpToDate>
  <CharactersWithSpaces>1227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2019-09-12T02:08:00Z</dcterms:created>
  <dc:creator>巴拉巴拉</dc:creator>
  <cp:lastModifiedBy>巴拉巴拉</cp:lastModifiedBy>
  <dcterms:modified xsi:type="dcterms:W3CDTF">2019-09-12T10:42:34Z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